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9D2D" w14:textId="77777777" w:rsidR="004758DB" w:rsidRDefault="004758DB">
      <w:pPr>
        <w:spacing w:line="560" w:lineRule="exact"/>
        <w:contextualSpacing/>
        <w:jc w:val="center"/>
        <w:rPr>
          <w:rFonts w:ascii="方正小标宋_GBK" w:eastAsia="方正小标宋_GBK"/>
          <w:sz w:val="44"/>
          <w:szCs w:val="44"/>
        </w:rPr>
      </w:pPr>
    </w:p>
    <w:p w14:paraId="6F43ADFF" w14:textId="77777777" w:rsidR="004758DB" w:rsidRDefault="009C5FB3">
      <w:pPr>
        <w:spacing w:line="560" w:lineRule="exact"/>
        <w:contextualSpacing/>
        <w:jc w:val="center"/>
        <w:rPr>
          <w:rFonts w:ascii="方正小标宋_GBK" w:eastAsia="方正小标宋_GBK"/>
          <w:sz w:val="44"/>
          <w:szCs w:val="44"/>
        </w:rPr>
      </w:pPr>
      <w:r>
        <w:rPr>
          <w:rFonts w:ascii="方正小标宋_GBK" w:eastAsia="方正小标宋_GBK" w:hint="eastAsia"/>
          <w:sz w:val="44"/>
          <w:szCs w:val="44"/>
        </w:rPr>
        <w:t>《无锡市市区共有产权保障房管理办法》</w:t>
      </w:r>
    </w:p>
    <w:p w14:paraId="12770A26" w14:textId="77777777" w:rsidR="004758DB" w:rsidRDefault="009C5FB3">
      <w:pPr>
        <w:spacing w:line="560" w:lineRule="exact"/>
        <w:contextualSpacing/>
        <w:jc w:val="center"/>
        <w:rPr>
          <w:rFonts w:ascii="方正小标宋_GBK" w:eastAsia="方正小标宋_GBK"/>
          <w:sz w:val="44"/>
          <w:szCs w:val="44"/>
        </w:rPr>
      </w:pPr>
      <w:r>
        <w:rPr>
          <w:rFonts w:ascii="方正小标宋_GBK" w:eastAsia="方正小标宋_GBK" w:hint="eastAsia"/>
          <w:sz w:val="44"/>
          <w:szCs w:val="44"/>
        </w:rPr>
        <w:t>政策解读</w:t>
      </w:r>
    </w:p>
    <w:p w14:paraId="7BCD06AD" w14:textId="77777777" w:rsidR="004758DB" w:rsidRDefault="009C5FB3">
      <w:pPr>
        <w:spacing w:line="560" w:lineRule="exact"/>
        <w:contextualSpacing/>
        <w:jc w:val="center"/>
        <w:rPr>
          <w:rFonts w:ascii="方正仿宋_GBK" w:eastAsia="方正仿宋_GBK"/>
        </w:rPr>
      </w:pPr>
      <w:r>
        <w:rPr>
          <w:rFonts w:ascii="方正仿宋_GBK" w:eastAsia="方正仿宋_GBK" w:hint="eastAsia"/>
        </w:rPr>
        <w:t xml:space="preserve">                          </w:t>
      </w:r>
    </w:p>
    <w:p w14:paraId="038627DE" w14:textId="77777777" w:rsidR="004758DB" w:rsidRDefault="009C5FB3">
      <w:pPr>
        <w:pStyle w:val="a6"/>
        <w:numPr>
          <w:ilvl w:val="0"/>
          <w:numId w:val="1"/>
        </w:numPr>
        <w:spacing w:line="560" w:lineRule="exact"/>
        <w:ind w:firstLineChars="0"/>
        <w:contextualSpacing/>
        <w:rPr>
          <w:rStyle w:val="a7"/>
          <w:rFonts w:ascii="方正黑体_GBK" w:eastAsia="方正黑体_GBK" w:cs="Arial"/>
          <w:b w:val="0"/>
          <w:bCs w:val="0"/>
          <w:color w:val="222222"/>
        </w:rPr>
      </w:pPr>
      <w:r>
        <w:rPr>
          <w:rStyle w:val="a7"/>
          <w:rFonts w:ascii="方正黑体_GBK" w:eastAsia="方正黑体_GBK" w:cs="Arial" w:hint="eastAsia"/>
          <w:b w:val="0"/>
          <w:bCs w:val="0"/>
          <w:color w:val="222222"/>
        </w:rPr>
        <w:t>政策背景</w:t>
      </w:r>
    </w:p>
    <w:p w14:paraId="4CB41D6E" w14:textId="77777777" w:rsidR="004758DB" w:rsidRDefault="009C5FB3">
      <w:pPr>
        <w:spacing w:line="560" w:lineRule="exact"/>
        <w:ind w:firstLineChars="200" w:firstLine="640"/>
        <w:contextualSpacing/>
        <w:rPr>
          <w:rStyle w:val="a7"/>
          <w:rFonts w:ascii="方正仿宋_GBK" w:eastAsia="方正仿宋_GBK" w:cs="Arial"/>
          <w:b w:val="0"/>
          <w:bCs w:val="0"/>
          <w:color w:val="222222"/>
          <w:shd w:val="clear" w:color="auto" w:fill="FFFFFF"/>
        </w:rPr>
      </w:pPr>
      <w:r>
        <w:rPr>
          <w:rStyle w:val="a7"/>
          <w:rFonts w:ascii="方正仿宋_GBK" w:eastAsia="方正仿宋_GBK" w:cs="Arial" w:hint="eastAsia"/>
          <w:b w:val="0"/>
          <w:bCs w:val="0"/>
          <w:color w:val="222222"/>
        </w:rPr>
        <w:t>党的二十大提出“加快建立多主体供给、多渠道保障、租购</w:t>
      </w:r>
      <w:r>
        <w:rPr>
          <w:rStyle w:val="a7"/>
          <w:rFonts w:ascii="方正仿宋_GBK" w:eastAsia="方正仿宋_GBK" w:cs="Arial" w:hint="eastAsia"/>
          <w:b w:val="0"/>
          <w:bCs w:val="0"/>
          <w:color w:val="222222"/>
          <w:shd w:val="clear" w:color="auto" w:fill="FFFFFF"/>
        </w:rPr>
        <w:t>并举的住房制度”要求，</w:t>
      </w:r>
      <w:r>
        <w:rPr>
          <w:rStyle w:val="a7"/>
          <w:rFonts w:ascii="方正仿宋_GBK" w:eastAsia="方正仿宋_GBK" w:cs="Arial" w:hint="eastAsia"/>
          <w:b w:val="0"/>
          <w:bCs w:val="0"/>
          <w:color w:val="222222"/>
        </w:rPr>
        <w:t>《国务院办公厅关于加快发展保障性租赁住房的意见》（国办发〔</w:t>
      </w:r>
      <w:r>
        <w:rPr>
          <w:rStyle w:val="a7"/>
          <w:rFonts w:ascii="方正仿宋_GBK" w:eastAsia="方正仿宋_GBK" w:cs="Arial" w:hint="eastAsia"/>
          <w:b w:val="0"/>
          <w:bCs w:val="0"/>
          <w:color w:val="222222"/>
        </w:rPr>
        <w:t>2021</w:t>
      </w:r>
      <w:r>
        <w:rPr>
          <w:rStyle w:val="a7"/>
          <w:rFonts w:ascii="方正仿宋_GBK" w:eastAsia="方正仿宋_GBK" w:cs="Arial" w:hint="eastAsia"/>
          <w:b w:val="0"/>
          <w:bCs w:val="0"/>
          <w:color w:val="222222"/>
        </w:rPr>
        <w:t>〕</w:t>
      </w:r>
      <w:r>
        <w:rPr>
          <w:rStyle w:val="a7"/>
          <w:rFonts w:ascii="方正仿宋_GBK" w:eastAsia="方正仿宋_GBK" w:cs="Arial" w:hint="eastAsia"/>
          <w:b w:val="0"/>
          <w:bCs w:val="0"/>
          <w:color w:val="222222"/>
        </w:rPr>
        <w:t>22</w:t>
      </w:r>
      <w:r>
        <w:rPr>
          <w:rStyle w:val="a7"/>
          <w:rFonts w:ascii="方正仿宋_GBK" w:eastAsia="方正仿宋_GBK" w:cs="Arial" w:hint="eastAsia"/>
          <w:b w:val="0"/>
          <w:bCs w:val="0"/>
          <w:color w:val="222222"/>
        </w:rPr>
        <w:t>号），明确提出“完善以公租房、保障性租赁住房和共有产权住房为主体的住房保障体系”，从国家层面正式确认了共有产权住房是以“三房”为主体的住房保障体系的重要组成部分。</w:t>
      </w:r>
      <w:r>
        <w:rPr>
          <w:rStyle w:val="a7"/>
          <w:rFonts w:ascii="方正仿宋_GBK" w:eastAsia="方正仿宋_GBK" w:hint="eastAsia"/>
          <w:b w:val="0"/>
          <w:bCs w:val="0"/>
          <w:color w:val="222222"/>
        </w:rPr>
        <w:t>经住房城乡建设部批准并报国务院备案的《无锡市房地产市场长效机制建设工作方案》，明确要求无锡市必须改革配售型保障房供应体系，建立共有产权房保障房供应体系，解决好中低收入家庭的住房问题。</w:t>
      </w:r>
    </w:p>
    <w:p w14:paraId="34D9DE20" w14:textId="77777777" w:rsidR="004758DB" w:rsidRDefault="009C5FB3">
      <w:pPr>
        <w:spacing w:line="560" w:lineRule="exact"/>
        <w:ind w:left="640"/>
        <w:contextualSpacing/>
        <w:rPr>
          <w:rStyle w:val="a7"/>
          <w:rFonts w:ascii="方正黑体_GBK" w:eastAsia="方正黑体_GBK" w:cs="Arial"/>
          <w:b w:val="0"/>
          <w:bCs w:val="0"/>
          <w:color w:val="222222"/>
        </w:rPr>
      </w:pPr>
      <w:r>
        <w:rPr>
          <w:rStyle w:val="a7"/>
          <w:rFonts w:ascii="方正黑体_GBK" w:eastAsia="方正黑体_GBK" w:cs="Arial" w:hint="eastAsia"/>
          <w:b w:val="0"/>
          <w:bCs w:val="0"/>
          <w:color w:val="222222"/>
        </w:rPr>
        <w:t>二、目的意义</w:t>
      </w:r>
    </w:p>
    <w:p w14:paraId="252B514F"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贯彻中央“房住不炒”精神和房地产市场宏观调控“一城一策”要求，补齐无锡</w:t>
      </w:r>
      <w:r>
        <w:rPr>
          <w:rStyle w:val="a7"/>
          <w:rFonts w:ascii="方正仿宋_GBK" w:eastAsia="方正仿宋_GBK" w:cs="Arial"/>
          <w:b w:val="0"/>
          <w:bCs w:val="0"/>
          <w:color w:val="222222"/>
        </w:rPr>
        <w:t>市区</w:t>
      </w:r>
      <w:r>
        <w:rPr>
          <w:rStyle w:val="a7"/>
          <w:rFonts w:ascii="方正仿宋_GBK" w:eastAsia="方正仿宋_GBK" w:cs="Arial" w:hint="eastAsia"/>
          <w:b w:val="0"/>
          <w:bCs w:val="0"/>
          <w:color w:val="222222"/>
        </w:rPr>
        <w:t>住房保</w:t>
      </w:r>
      <w:r>
        <w:rPr>
          <w:rStyle w:val="a7"/>
          <w:rFonts w:ascii="方正仿宋_GBK" w:eastAsia="方正仿宋_GBK" w:cs="Arial" w:hint="eastAsia"/>
          <w:b w:val="0"/>
          <w:bCs w:val="0"/>
          <w:color w:val="222222"/>
        </w:rPr>
        <w:t>障</w:t>
      </w:r>
      <w:r>
        <w:rPr>
          <w:rStyle w:val="a7"/>
          <w:rFonts w:ascii="方正仿宋_GBK" w:eastAsia="方正仿宋_GBK" w:cs="Arial"/>
          <w:b w:val="0"/>
          <w:bCs w:val="0"/>
          <w:color w:val="222222"/>
        </w:rPr>
        <w:t>在按国家要求停止经济适用房供应后</w:t>
      </w:r>
      <w:r>
        <w:rPr>
          <w:rStyle w:val="a7"/>
          <w:rFonts w:ascii="方正仿宋_GBK" w:eastAsia="方正仿宋_GBK" w:cs="Arial" w:hint="eastAsia"/>
          <w:b w:val="0"/>
          <w:bCs w:val="0"/>
          <w:color w:val="222222"/>
        </w:rPr>
        <w:t>缺乏</w:t>
      </w:r>
      <w:r>
        <w:rPr>
          <w:rStyle w:val="a7"/>
          <w:rFonts w:ascii="方正仿宋_GBK" w:eastAsia="方正仿宋_GBK" w:cs="Arial"/>
          <w:b w:val="0"/>
          <w:bCs w:val="0"/>
          <w:color w:val="222222"/>
        </w:rPr>
        <w:t>产权</w:t>
      </w:r>
      <w:r>
        <w:rPr>
          <w:rStyle w:val="a7"/>
          <w:rFonts w:ascii="方正仿宋_GBK" w:eastAsia="方正仿宋_GBK" w:cs="Arial" w:hint="eastAsia"/>
          <w:b w:val="0"/>
          <w:bCs w:val="0"/>
          <w:color w:val="222222"/>
        </w:rPr>
        <w:t>类保障房的短板，切实提升无锡住房保障水平和供应能力，真正形成“租购并举”供应体系，对</w:t>
      </w:r>
      <w:r w:rsidRPr="00924885">
        <w:rPr>
          <w:rStyle w:val="a7"/>
          <w:rFonts w:ascii="方正仿宋_GBK" w:eastAsia="方正仿宋_GBK" w:cs="Arial" w:hint="eastAsia"/>
          <w:b w:val="0"/>
          <w:bCs w:val="0"/>
          <w:color w:val="222222"/>
        </w:rPr>
        <w:t>无锡积极推动共同富裕示范引领区建设具有重要意义。</w:t>
      </w:r>
    </w:p>
    <w:p w14:paraId="09DB1BD2" w14:textId="77777777" w:rsidR="004758DB" w:rsidRDefault="009C5FB3">
      <w:pPr>
        <w:spacing w:line="560" w:lineRule="exact"/>
        <w:ind w:firstLineChars="200" w:firstLine="640"/>
        <w:contextualSpacing/>
        <w:rPr>
          <w:rStyle w:val="a7"/>
          <w:rFonts w:ascii="方正黑体_GBK" w:eastAsia="方正黑体_GBK" w:cs="Arial"/>
          <w:b w:val="0"/>
          <w:bCs w:val="0"/>
          <w:color w:val="222222"/>
        </w:rPr>
      </w:pPr>
      <w:r>
        <w:rPr>
          <w:rStyle w:val="a7"/>
          <w:rFonts w:ascii="方正黑体_GBK" w:eastAsia="方正黑体_GBK" w:cs="Arial" w:hint="eastAsia"/>
          <w:b w:val="0"/>
          <w:bCs w:val="0"/>
          <w:color w:val="222222"/>
        </w:rPr>
        <w:t>三、主要内容</w:t>
      </w:r>
    </w:p>
    <w:p w14:paraId="35C6EBC8"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《无锡市市区共有产权保障房管理办法》（以下简称《管理办法》）共三十八条，主要内容如下：</w:t>
      </w:r>
    </w:p>
    <w:p w14:paraId="2B501CBE" w14:textId="77777777" w:rsidR="004758DB" w:rsidRDefault="009C5FB3">
      <w:pPr>
        <w:pStyle w:val="a6"/>
        <w:numPr>
          <w:ilvl w:val="0"/>
          <w:numId w:val="2"/>
        </w:numPr>
        <w:spacing w:line="560" w:lineRule="exact"/>
        <w:ind w:firstLineChars="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lastRenderedPageBreak/>
        <w:t>明确概念定义</w:t>
      </w:r>
    </w:p>
    <w:p w14:paraId="3B6B6AA2"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二条、第三条明确共有产权保障房由政府投资以及政府委托其他单位建设并纳入保障性安居工程计划的，向符合规定条件的城镇中低收入住房困难家庭供应，实行政府与保障家庭按份共有产权。上述概念定义基本明确了共有产权保障住房的保障属性，保障范围目前仅涉及户籍家庭。</w:t>
      </w:r>
    </w:p>
    <w:p w14:paraId="22E698E1" w14:textId="77777777" w:rsidR="004758DB" w:rsidRDefault="009C5FB3">
      <w:pPr>
        <w:pStyle w:val="a6"/>
        <w:numPr>
          <w:ilvl w:val="0"/>
          <w:numId w:val="2"/>
        </w:numPr>
        <w:spacing w:line="560" w:lineRule="exact"/>
        <w:ind w:firstLineChars="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明确责任分工</w:t>
      </w:r>
    </w:p>
    <w:p w14:paraId="0383A2EB"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四条、第七条、第八条明确共有产权保障房专项规划纳入全市住房发展规划，由市发展改革、自然资源规划、财政、住房城乡建设四部门商议后报市人民政府批准，并向社会公布。市住房城乡建设部门负责提出年度共有产权保障房用地需求，市自然资</w:t>
      </w:r>
      <w:r>
        <w:rPr>
          <w:rStyle w:val="a7"/>
          <w:rFonts w:ascii="方正仿宋_GBK" w:eastAsia="方正仿宋_GBK" w:cs="Arial" w:hint="eastAsia"/>
          <w:b w:val="0"/>
          <w:bCs w:val="0"/>
          <w:color w:val="222222"/>
        </w:rPr>
        <w:t>源规划部门负责安排年度共有产权保障房土地供应。</w:t>
      </w:r>
    </w:p>
    <w:p w14:paraId="6C0DC72B"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（三）明确价格管理</w:t>
      </w:r>
    </w:p>
    <w:p w14:paraId="679EA67E"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《管理办法》第五条、第六条明确共有产权保障房销售价格实行政府指导价，并进行动态管理，在售房阶段向社会公布。购房家庭按单套销售价格的</w:t>
      </w:r>
      <w:r>
        <w:rPr>
          <w:rStyle w:val="a7"/>
          <w:rFonts w:ascii="方正仿宋_GBK" w:eastAsia="方正仿宋_GBK" w:cs="Arial" w:hint="eastAsia"/>
          <w:b w:val="0"/>
          <w:bCs w:val="0"/>
          <w:color w:val="222222"/>
        </w:rPr>
        <w:t>50%</w:t>
      </w:r>
      <w:r>
        <w:rPr>
          <w:rStyle w:val="a7"/>
          <w:rFonts w:ascii="方正仿宋_GBK" w:eastAsia="方正仿宋_GBK" w:cs="Arial" w:hint="eastAsia"/>
          <w:b w:val="0"/>
          <w:bCs w:val="0"/>
          <w:color w:val="222222"/>
        </w:rPr>
        <w:t>支付购房款，购房后取得</w:t>
      </w:r>
      <w:r>
        <w:rPr>
          <w:rStyle w:val="a7"/>
          <w:rFonts w:ascii="方正仿宋_GBK" w:eastAsia="方正仿宋_GBK" w:cs="Arial" w:hint="eastAsia"/>
          <w:b w:val="0"/>
          <w:bCs w:val="0"/>
          <w:color w:val="222222"/>
        </w:rPr>
        <w:t>50%</w:t>
      </w:r>
      <w:r>
        <w:rPr>
          <w:rStyle w:val="a7"/>
          <w:rFonts w:ascii="方正仿宋_GBK" w:eastAsia="方正仿宋_GBK" w:cs="Arial" w:hint="eastAsia"/>
          <w:b w:val="0"/>
          <w:bCs w:val="0"/>
          <w:color w:val="222222"/>
        </w:rPr>
        <w:t>产权份额比例。</w:t>
      </w:r>
    </w:p>
    <w:p w14:paraId="4C6622F0"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（四）明确户型面积</w:t>
      </w:r>
    </w:p>
    <w:p w14:paraId="05573200"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《管理办法》第九条、第十条明确共有产权保障房以中小户型为主，建筑设计应综合考虑住宅使用功能与空间组合，满足家庭基本居住生活要求。</w:t>
      </w:r>
    </w:p>
    <w:p w14:paraId="7D25D12F"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（五）明确准入条件</w:t>
      </w:r>
    </w:p>
    <w:p w14:paraId="2ED6F834" w14:textId="77777777" w:rsidR="004758DB" w:rsidRDefault="009C5FB3">
      <w:pPr>
        <w:spacing w:line="560" w:lineRule="exact"/>
        <w:ind w:firstLineChars="200" w:firstLine="640"/>
        <w:contextualSpacing/>
        <w:rPr>
          <w:rFonts w:ascii="方正仿宋_GBK" w:eastAsia="方正仿宋_GBK"/>
        </w:rPr>
      </w:pPr>
      <w:r>
        <w:rPr>
          <w:rStyle w:val="a7"/>
          <w:rFonts w:ascii="方正仿宋_GBK" w:eastAsia="方正仿宋_GBK" w:cs="Arial" w:hint="eastAsia"/>
          <w:b w:val="0"/>
          <w:bCs w:val="0"/>
          <w:color w:val="222222"/>
        </w:rPr>
        <w:t>按照户籍家庭准入原则，《管理办法》第十二条明确申购家</w:t>
      </w:r>
      <w:r>
        <w:rPr>
          <w:rStyle w:val="a7"/>
          <w:rFonts w:ascii="方正仿宋_GBK" w:eastAsia="方正仿宋_GBK" w:cs="Arial" w:hint="eastAsia"/>
          <w:b w:val="0"/>
          <w:bCs w:val="0"/>
          <w:color w:val="222222"/>
        </w:rPr>
        <w:lastRenderedPageBreak/>
        <w:t>庭需要满足：</w:t>
      </w:r>
      <w:r>
        <w:rPr>
          <w:rFonts w:ascii="方正仿宋_GBK" w:eastAsia="方正仿宋_GBK" w:hint="eastAsia"/>
        </w:rPr>
        <w:t>申请人具有完全民事行为能力，申</w:t>
      </w:r>
      <w:r>
        <w:rPr>
          <w:rFonts w:ascii="方正仿宋_GBK" w:eastAsia="方正仿宋_GBK" w:hint="eastAsia"/>
        </w:rPr>
        <w:t>请家庭成员包括夫妻双方及未婚子女。单身家庭提出申请的，申请人年满</w:t>
      </w:r>
      <w:r>
        <w:rPr>
          <w:rFonts w:ascii="方正仿宋_GBK" w:eastAsia="方正仿宋_GBK" w:hint="eastAsia"/>
        </w:rPr>
        <w:t>35</w:t>
      </w:r>
      <w:r>
        <w:rPr>
          <w:rFonts w:ascii="方正仿宋_GBK" w:eastAsia="方正仿宋_GBK" w:hint="eastAsia"/>
        </w:rPr>
        <w:t>周岁；具有本市市区户籍满</w:t>
      </w:r>
      <w:r>
        <w:rPr>
          <w:rFonts w:ascii="方正仿宋_GBK" w:eastAsia="方正仿宋_GBK" w:hint="eastAsia"/>
        </w:rPr>
        <w:t>5</w:t>
      </w:r>
      <w:r>
        <w:rPr>
          <w:rFonts w:ascii="方正仿宋_GBK" w:eastAsia="方正仿宋_GBK" w:hint="eastAsia"/>
        </w:rPr>
        <w:t>年；人均月可支配收入以及人均住房建筑面积符合市住房城乡建设部门会同财政部门公布的年度准入标准；家庭金融资产、车辆等情况，符合本市市区住房保障中等偏下收入家庭认定标准。已签订房屋征收补偿协议未满</w:t>
      </w:r>
      <w:r>
        <w:rPr>
          <w:rFonts w:ascii="方正仿宋_GBK" w:eastAsia="方正仿宋_GBK" w:hint="eastAsia"/>
        </w:rPr>
        <w:t>5</w:t>
      </w:r>
      <w:r>
        <w:rPr>
          <w:rFonts w:ascii="方正仿宋_GBK" w:eastAsia="方正仿宋_GBK" w:hint="eastAsia"/>
        </w:rPr>
        <w:t>年或者已领取房屋征收补偿费用未满</w:t>
      </w:r>
      <w:r>
        <w:rPr>
          <w:rFonts w:ascii="方正仿宋_GBK" w:eastAsia="方正仿宋_GBK" w:hint="eastAsia"/>
        </w:rPr>
        <w:t>5</w:t>
      </w:r>
      <w:r>
        <w:rPr>
          <w:rFonts w:ascii="方正仿宋_GBK" w:eastAsia="方正仿宋_GBK" w:hint="eastAsia"/>
        </w:rPr>
        <w:t>年的，或者正在承租公共租赁住房或者廉租住房的，或者已经购买经济适用住房的，不得进行申购。</w:t>
      </w:r>
    </w:p>
    <w:p w14:paraId="07FCADBF"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（六）明确申购程序</w:t>
      </w:r>
    </w:p>
    <w:p w14:paraId="03A23D7A"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《管理办法》第十五条至第十九条明确资格审核、发布公告、组织销售、签订合同的申购程</w:t>
      </w:r>
      <w:r>
        <w:rPr>
          <w:rStyle w:val="a7"/>
          <w:rFonts w:ascii="方正仿宋_GBK" w:eastAsia="方正仿宋_GBK" w:cs="Arial" w:hint="eastAsia"/>
          <w:b w:val="0"/>
          <w:bCs w:val="0"/>
          <w:color w:val="222222"/>
        </w:rPr>
        <w:t>序。选房环节，未在规定时间内选房并签订购房合同，或者因自身原因导致签订的购房合同被解除的，购房资格失效，自提出申请</w:t>
      </w:r>
      <w:r>
        <w:rPr>
          <w:rStyle w:val="a7"/>
          <w:rFonts w:ascii="方正仿宋_GBK" w:eastAsia="方正仿宋_GBK" w:cs="Arial" w:hint="eastAsia"/>
          <w:b w:val="0"/>
          <w:bCs w:val="0"/>
          <w:color w:val="222222"/>
        </w:rPr>
        <w:t>2</w:t>
      </w:r>
      <w:r>
        <w:rPr>
          <w:rStyle w:val="a7"/>
          <w:rFonts w:ascii="方正仿宋_GBK" w:eastAsia="方正仿宋_GBK" w:cs="Arial" w:hint="eastAsia"/>
          <w:b w:val="0"/>
          <w:bCs w:val="0"/>
          <w:color w:val="222222"/>
        </w:rPr>
        <w:t>年内不得申请购房。</w:t>
      </w:r>
    </w:p>
    <w:p w14:paraId="021D1092" w14:textId="77777777" w:rsidR="004758DB" w:rsidRDefault="009C5FB3">
      <w:pPr>
        <w:spacing w:line="560" w:lineRule="exact"/>
        <w:ind w:firstLineChars="200" w:firstLine="640"/>
        <w:contextualSpacing/>
        <w:rPr>
          <w:rStyle w:val="a7"/>
          <w:rFonts w:ascii="方正楷体_GBK" w:eastAsia="方正楷体_GBK"/>
        </w:rPr>
      </w:pPr>
      <w:r>
        <w:rPr>
          <w:rStyle w:val="a7"/>
          <w:rFonts w:ascii="方正楷体_GBK" w:eastAsia="方正楷体_GBK" w:cs="Arial" w:hint="eastAsia"/>
          <w:b w:val="0"/>
          <w:bCs w:val="0"/>
          <w:color w:val="222222"/>
        </w:rPr>
        <w:t>（七）明确不动产登记</w:t>
      </w:r>
    </w:p>
    <w:p w14:paraId="30115AB3"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《管理办法》第二十一条明确购房家庭办理共有产权保障房登记时，不动产登记机构应当在不动产权证上注记“共有产权保障房”，并记载共有人和共有方式。</w:t>
      </w:r>
    </w:p>
    <w:p w14:paraId="24D15E92"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（八）明确回购管理</w:t>
      </w:r>
    </w:p>
    <w:p w14:paraId="0F25D3D8" w14:textId="77777777" w:rsidR="004758DB" w:rsidRDefault="009C5FB3">
      <w:pPr>
        <w:spacing w:line="560" w:lineRule="exact"/>
        <w:ind w:firstLineChars="200" w:firstLine="640"/>
        <w:contextualSpacing/>
        <w:rPr>
          <w:rStyle w:val="a7"/>
          <w:rFonts w:ascii="方正仿宋_GBK" w:eastAsia="方正仿宋_GBK"/>
          <w:b w:val="0"/>
          <w:bCs w:val="0"/>
        </w:rPr>
      </w:pPr>
      <w:r>
        <w:rPr>
          <w:rStyle w:val="a7"/>
          <w:rFonts w:ascii="方正仿宋_GBK" w:eastAsia="方正仿宋_GBK" w:cs="Arial" w:hint="eastAsia"/>
          <w:b w:val="0"/>
          <w:bCs w:val="0"/>
          <w:color w:val="222222"/>
        </w:rPr>
        <w:t>《管理办法》第二十二条明确自签订购房合同之日起</w:t>
      </w:r>
      <w:r>
        <w:rPr>
          <w:rStyle w:val="a7"/>
          <w:rFonts w:ascii="方正仿宋_GBK" w:eastAsia="方正仿宋_GBK" w:cs="Arial" w:hint="eastAsia"/>
          <w:b w:val="0"/>
          <w:bCs w:val="0"/>
          <w:color w:val="222222"/>
        </w:rPr>
        <w:t>5</w:t>
      </w:r>
      <w:r>
        <w:rPr>
          <w:rStyle w:val="a7"/>
          <w:rFonts w:ascii="方正仿宋_GBK" w:eastAsia="方正仿宋_GBK" w:cs="Arial" w:hint="eastAsia"/>
          <w:b w:val="0"/>
          <w:bCs w:val="0"/>
          <w:color w:val="222222"/>
        </w:rPr>
        <w:t>年内，购房家庭因故需退出保障的，可向代持机构提出退回其份额的申请，代持机构将原价进行回购。第二十三条明确购房家庭回购剩余</w:t>
      </w:r>
      <w:r>
        <w:rPr>
          <w:rStyle w:val="a7"/>
          <w:rFonts w:ascii="方正仿宋_GBK" w:eastAsia="方正仿宋_GBK" w:cs="Arial" w:hint="eastAsia"/>
          <w:b w:val="0"/>
          <w:bCs w:val="0"/>
          <w:color w:val="222222"/>
        </w:rPr>
        <w:t>50%</w:t>
      </w:r>
      <w:r>
        <w:rPr>
          <w:rStyle w:val="a7"/>
          <w:rFonts w:ascii="方正仿宋_GBK" w:eastAsia="方正仿宋_GBK" w:cs="Arial" w:hint="eastAsia"/>
          <w:b w:val="0"/>
          <w:bCs w:val="0"/>
          <w:color w:val="222222"/>
        </w:rPr>
        <w:t>产权的，自签订购房合同之日起</w:t>
      </w:r>
      <w:r>
        <w:rPr>
          <w:rStyle w:val="a7"/>
          <w:rFonts w:ascii="方正仿宋_GBK" w:eastAsia="方正仿宋_GBK" w:cs="Arial" w:hint="eastAsia"/>
          <w:b w:val="0"/>
          <w:bCs w:val="0"/>
          <w:color w:val="222222"/>
        </w:rPr>
        <w:t>5</w:t>
      </w:r>
      <w:r>
        <w:rPr>
          <w:rStyle w:val="a7"/>
          <w:rFonts w:ascii="方正仿宋_GBK" w:eastAsia="方正仿宋_GBK" w:cs="Arial" w:hint="eastAsia"/>
          <w:b w:val="0"/>
          <w:bCs w:val="0"/>
          <w:color w:val="222222"/>
        </w:rPr>
        <w:t>年内，按原购买价格回</w:t>
      </w:r>
      <w:r>
        <w:rPr>
          <w:rStyle w:val="a7"/>
          <w:rFonts w:ascii="方正仿宋_GBK" w:eastAsia="方正仿宋_GBK" w:cs="Arial" w:hint="eastAsia"/>
          <w:b w:val="0"/>
          <w:bCs w:val="0"/>
          <w:color w:val="222222"/>
        </w:rPr>
        <w:lastRenderedPageBreak/>
        <w:t>购；超过</w:t>
      </w:r>
      <w:r>
        <w:rPr>
          <w:rStyle w:val="a7"/>
          <w:rFonts w:ascii="方正仿宋_GBK" w:eastAsia="方正仿宋_GBK" w:cs="Arial" w:hint="eastAsia"/>
          <w:b w:val="0"/>
          <w:bCs w:val="0"/>
          <w:color w:val="222222"/>
        </w:rPr>
        <w:t>5</w:t>
      </w:r>
      <w:r>
        <w:rPr>
          <w:rStyle w:val="a7"/>
          <w:rFonts w:ascii="方正仿宋_GBK" w:eastAsia="方正仿宋_GBK" w:cs="Arial" w:hint="eastAsia"/>
          <w:b w:val="0"/>
          <w:bCs w:val="0"/>
          <w:color w:val="222222"/>
        </w:rPr>
        <w:t>年的，按市场评估价回购。</w:t>
      </w:r>
    </w:p>
    <w:p w14:paraId="393CBFEA"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（九）明确上市交易限制</w:t>
      </w:r>
    </w:p>
    <w:p w14:paraId="6A9B418E" w14:textId="77777777" w:rsidR="004758DB" w:rsidRDefault="009C5FB3">
      <w:pPr>
        <w:spacing w:line="560" w:lineRule="exact"/>
        <w:ind w:firstLineChars="200" w:firstLine="640"/>
        <w:contextualSpacing/>
        <w:rPr>
          <w:rStyle w:val="a7"/>
          <w:rFonts w:ascii="方正仿宋_GBK" w:eastAsia="方正仿宋_GBK" w:cs="Arial"/>
          <w:b w:val="0"/>
          <w:bCs w:val="0"/>
          <w:color w:val="222222"/>
        </w:rPr>
      </w:pPr>
      <w:r>
        <w:rPr>
          <w:rStyle w:val="a7"/>
          <w:rFonts w:ascii="方正仿宋_GBK" w:eastAsia="方正仿宋_GBK" w:cs="Arial" w:hint="eastAsia"/>
          <w:b w:val="0"/>
          <w:bCs w:val="0"/>
          <w:color w:val="222222"/>
        </w:rPr>
        <w:t>《管理办法》第二十四条明确自签订购房合同之日起满</w:t>
      </w:r>
      <w:r>
        <w:rPr>
          <w:rStyle w:val="a7"/>
          <w:rFonts w:ascii="方正仿宋_GBK" w:eastAsia="方正仿宋_GBK" w:cs="Arial" w:hint="eastAsia"/>
          <w:b w:val="0"/>
          <w:bCs w:val="0"/>
          <w:color w:val="222222"/>
        </w:rPr>
        <w:t>5</w:t>
      </w:r>
      <w:r>
        <w:rPr>
          <w:rStyle w:val="a7"/>
          <w:rFonts w:ascii="方正仿宋_GBK" w:eastAsia="方正仿宋_GBK" w:cs="Arial" w:hint="eastAsia"/>
          <w:b w:val="0"/>
          <w:bCs w:val="0"/>
          <w:color w:val="222222"/>
        </w:rPr>
        <w:t>年的，购房家庭方可上市转让。转让后，原购房家庭不得再次申请购买。</w:t>
      </w:r>
    </w:p>
    <w:p w14:paraId="612EE4B6" w14:textId="77777777" w:rsidR="004758DB" w:rsidRDefault="009C5FB3">
      <w:pPr>
        <w:spacing w:line="560" w:lineRule="exact"/>
        <w:ind w:firstLineChars="200" w:firstLine="640"/>
        <w:contextualSpacing/>
        <w:rPr>
          <w:rStyle w:val="a7"/>
          <w:rFonts w:ascii="方正楷体_GBK" w:eastAsia="方正楷体_GBK" w:cs="Arial"/>
          <w:b w:val="0"/>
          <w:bCs w:val="0"/>
          <w:color w:val="222222"/>
        </w:rPr>
      </w:pPr>
      <w:r>
        <w:rPr>
          <w:rStyle w:val="a7"/>
          <w:rFonts w:ascii="方正楷体_GBK" w:eastAsia="方正楷体_GBK" w:cs="Arial" w:hint="eastAsia"/>
          <w:b w:val="0"/>
          <w:bCs w:val="0"/>
          <w:color w:val="222222"/>
        </w:rPr>
        <w:t>（十）明确违规处理制度</w:t>
      </w:r>
    </w:p>
    <w:p w14:paraId="5F090B2F" w14:textId="77777777" w:rsidR="004758DB" w:rsidRDefault="009C5FB3">
      <w:pPr>
        <w:spacing w:line="560" w:lineRule="exact"/>
        <w:ind w:firstLineChars="200" w:firstLine="640"/>
        <w:contextualSpacing/>
        <w:rPr>
          <w:rFonts w:ascii="方正仿宋_GBK" w:eastAsia="方正仿宋_GBK" w:cs="Arial"/>
          <w:color w:val="222222"/>
        </w:rPr>
      </w:pPr>
      <w:r>
        <w:rPr>
          <w:rStyle w:val="a7"/>
          <w:rFonts w:ascii="方正仿宋_GBK" w:eastAsia="方正仿宋_GBK" w:cs="Arial" w:hint="eastAsia"/>
          <w:b w:val="0"/>
          <w:bCs w:val="0"/>
          <w:color w:val="222222"/>
        </w:rPr>
        <w:t>《管理办法》第三十四条明确申请家庭不如实填报申请文书，故意隐瞒或者虚报身份相关状况，或者</w:t>
      </w:r>
      <w:r>
        <w:rPr>
          <w:rStyle w:val="a7"/>
          <w:rFonts w:ascii="方正仿宋_GBK" w:eastAsia="方正仿宋_GBK" w:cs="Arial" w:hint="eastAsia"/>
          <w:b w:val="0"/>
          <w:bCs w:val="0"/>
          <w:color w:val="222222"/>
        </w:rPr>
        <w:t>伪造相关证明材料申请共有产权保障房的，一经查实，立即取消其资格，并禁止其</w:t>
      </w:r>
      <w:r>
        <w:rPr>
          <w:rStyle w:val="a7"/>
          <w:rFonts w:ascii="方正仿宋_GBK" w:eastAsia="方正仿宋_GBK" w:cs="Arial" w:hint="eastAsia"/>
          <w:b w:val="0"/>
          <w:bCs w:val="0"/>
          <w:color w:val="222222"/>
        </w:rPr>
        <w:t>5</w:t>
      </w:r>
      <w:r>
        <w:rPr>
          <w:rStyle w:val="a7"/>
          <w:rFonts w:ascii="方正仿宋_GBK" w:eastAsia="方正仿宋_GBK" w:cs="Arial" w:hint="eastAsia"/>
          <w:b w:val="0"/>
          <w:bCs w:val="0"/>
          <w:color w:val="222222"/>
        </w:rPr>
        <w:t>年内再次申请本市各类保障性住房；已骗购房屋的，责令其腾退住房，并按照同类地段市场租金标准全面积收取住房占用期间的租金。拒不执行的，依法承担相应的法律责任。第三十五条明确有关行政管理部门、市实施机构、代持机构及其工作人员在共有产权保障房管理工作中滥用职权、徇私舞弊、玩忽职守的，依法给予处理；构成犯罪的，依法追究刑事责任。</w:t>
      </w:r>
    </w:p>
    <w:sectPr w:rsidR="004758DB">
      <w:pgSz w:w="11906" w:h="16838"/>
      <w:pgMar w:top="2098" w:right="1474" w:bottom="1701" w:left="1588"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021C" w14:textId="77777777" w:rsidR="009C5FB3" w:rsidRDefault="009C5FB3" w:rsidP="00924885">
      <w:r>
        <w:separator/>
      </w:r>
    </w:p>
  </w:endnote>
  <w:endnote w:type="continuationSeparator" w:id="0">
    <w:p w14:paraId="291D7840" w14:textId="77777777" w:rsidR="009C5FB3" w:rsidRDefault="009C5FB3" w:rsidP="0092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F60F" w14:textId="77777777" w:rsidR="009C5FB3" w:rsidRDefault="009C5FB3" w:rsidP="00924885">
      <w:r>
        <w:separator/>
      </w:r>
    </w:p>
  </w:footnote>
  <w:footnote w:type="continuationSeparator" w:id="0">
    <w:p w14:paraId="6F78B6B1" w14:textId="77777777" w:rsidR="009C5FB3" w:rsidRDefault="009C5FB3" w:rsidP="0092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31A39"/>
    <w:multiLevelType w:val="hybridMultilevel"/>
    <w:tmpl w:val="C10807C2"/>
    <w:lvl w:ilvl="0" w:tplc="A3D6B9AC">
      <w:start w:val="1"/>
      <w:numFmt w:val="japaneseCounting"/>
      <w:lvlRestart w:val="0"/>
      <w:lvlText w:val="（%1）"/>
      <w:lvlJc w:val="left"/>
      <w:pPr>
        <w:ind w:left="1720" w:hanging="1080"/>
      </w:pPr>
      <w:rPr>
        <w:rFonts w:hint="default"/>
      </w:rPr>
    </w:lvl>
    <w:lvl w:ilvl="1" w:tplc="7FC65A20">
      <w:start w:val="1"/>
      <w:numFmt w:val="lowerLetter"/>
      <w:lvlText w:val="%2)"/>
      <w:lvlJc w:val="left"/>
      <w:pPr>
        <w:ind w:left="1480" w:hanging="420"/>
      </w:pPr>
    </w:lvl>
    <w:lvl w:ilvl="2" w:tplc="DEDEAEC6">
      <w:start w:val="1"/>
      <w:numFmt w:val="lowerRoman"/>
      <w:lvlText w:val="%3."/>
      <w:lvlJc w:val="right"/>
      <w:pPr>
        <w:ind w:left="1900" w:hanging="420"/>
      </w:pPr>
    </w:lvl>
    <w:lvl w:ilvl="3" w:tplc="58FE7A70">
      <w:start w:val="1"/>
      <w:numFmt w:val="decimal"/>
      <w:lvlText w:val="%4."/>
      <w:lvlJc w:val="left"/>
      <w:pPr>
        <w:ind w:left="2320" w:hanging="420"/>
      </w:pPr>
    </w:lvl>
    <w:lvl w:ilvl="4" w:tplc="7FA2D81C">
      <w:start w:val="1"/>
      <w:numFmt w:val="lowerLetter"/>
      <w:lvlText w:val="%5)"/>
      <w:lvlJc w:val="left"/>
      <w:pPr>
        <w:ind w:left="2740" w:hanging="420"/>
      </w:pPr>
    </w:lvl>
    <w:lvl w:ilvl="5" w:tplc="2F6A6564">
      <w:start w:val="1"/>
      <w:numFmt w:val="lowerRoman"/>
      <w:lvlText w:val="%6."/>
      <w:lvlJc w:val="right"/>
      <w:pPr>
        <w:ind w:left="3160" w:hanging="420"/>
      </w:pPr>
    </w:lvl>
    <w:lvl w:ilvl="6" w:tplc="085033DA">
      <w:start w:val="1"/>
      <w:numFmt w:val="decimal"/>
      <w:lvlText w:val="%7."/>
      <w:lvlJc w:val="left"/>
      <w:pPr>
        <w:ind w:left="3580" w:hanging="420"/>
      </w:pPr>
    </w:lvl>
    <w:lvl w:ilvl="7" w:tplc="7C2295A0">
      <w:start w:val="1"/>
      <w:numFmt w:val="lowerLetter"/>
      <w:lvlText w:val="%8)"/>
      <w:lvlJc w:val="left"/>
      <w:pPr>
        <w:ind w:left="4000" w:hanging="420"/>
      </w:pPr>
    </w:lvl>
    <w:lvl w:ilvl="8" w:tplc="B924238C">
      <w:start w:val="1"/>
      <w:numFmt w:val="lowerRoman"/>
      <w:lvlText w:val="%9."/>
      <w:lvlJc w:val="right"/>
      <w:pPr>
        <w:ind w:left="4420" w:hanging="420"/>
      </w:pPr>
    </w:lvl>
  </w:abstractNum>
  <w:abstractNum w:abstractNumId="1" w15:restartNumberingAfterBreak="0">
    <w:nsid w:val="740D7083"/>
    <w:multiLevelType w:val="hybridMultilevel"/>
    <w:tmpl w:val="A65A581C"/>
    <w:lvl w:ilvl="0" w:tplc="041E2E5E">
      <w:start w:val="1"/>
      <w:numFmt w:val="japaneseCounting"/>
      <w:lvlRestart w:val="0"/>
      <w:lvlText w:val="%1、"/>
      <w:lvlJc w:val="left"/>
      <w:pPr>
        <w:ind w:left="1360" w:hanging="720"/>
      </w:pPr>
      <w:rPr>
        <w:rFonts w:hint="default"/>
      </w:rPr>
    </w:lvl>
    <w:lvl w:ilvl="1" w:tplc="19F29E0C">
      <w:start w:val="1"/>
      <w:numFmt w:val="lowerLetter"/>
      <w:lvlText w:val="%2)"/>
      <w:lvlJc w:val="left"/>
      <w:pPr>
        <w:ind w:left="1480" w:hanging="420"/>
      </w:pPr>
    </w:lvl>
    <w:lvl w:ilvl="2" w:tplc="D57226F6">
      <w:start w:val="1"/>
      <w:numFmt w:val="lowerRoman"/>
      <w:lvlText w:val="%3."/>
      <w:lvlJc w:val="right"/>
      <w:pPr>
        <w:ind w:left="1900" w:hanging="420"/>
      </w:pPr>
    </w:lvl>
    <w:lvl w:ilvl="3" w:tplc="35C09850">
      <w:start w:val="1"/>
      <w:numFmt w:val="decimal"/>
      <w:lvlText w:val="%4."/>
      <w:lvlJc w:val="left"/>
      <w:pPr>
        <w:ind w:left="2320" w:hanging="420"/>
      </w:pPr>
    </w:lvl>
    <w:lvl w:ilvl="4" w:tplc="C2D61B18">
      <w:start w:val="1"/>
      <w:numFmt w:val="lowerLetter"/>
      <w:lvlText w:val="%5)"/>
      <w:lvlJc w:val="left"/>
      <w:pPr>
        <w:ind w:left="2740" w:hanging="420"/>
      </w:pPr>
    </w:lvl>
    <w:lvl w:ilvl="5" w:tplc="DFD6D952">
      <w:start w:val="1"/>
      <w:numFmt w:val="lowerRoman"/>
      <w:lvlText w:val="%6."/>
      <w:lvlJc w:val="right"/>
      <w:pPr>
        <w:ind w:left="3160" w:hanging="420"/>
      </w:pPr>
    </w:lvl>
    <w:lvl w:ilvl="6" w:tplc="97CE59E6">
      <w:start w:val="1"/>
      <w:numFmt w:val="decimal"/>
      <w:lvlText w:val="%7."/>
      <w:lvlJc w:val="left"/>
      <w:pPr>
        <w:ind w:left="3580" w:hanging="420"/>
      </w:pPr>
    </w:lvl>
    <w:lvl w:ilvl="7" w:tplc="424CCDC2">
      <w:start w:val="1"/>
      <w:numFmt w:val="lowerLetter"/>
      <w:lvlText w:val="%8)"/>
      <w:lvlJc w:val="left"/>
      <w:pPr>
        <w:ind w:left="4000" w:hanging="420"/>
      </w:pPr>
    </w:lvl>
    <w:lvl w:ilvl="8" w:tplc="1F7E761A">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58DB"/>
    <w:rsid w:val="004758DB"/>
    <w:rsid w:val="00924885"/>
    <w:rsid w:val="009C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D2EA"/>
  <w15:docId w15:val="{9C45E3A0-F9B9-422A-B529-234FC28B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kern w:val="2"/>
      <w:sz w:val="32"/>
      <w:szCs w:val="3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ascii="Times New Roman" w:eastAsia="黑体"/>
      <w:b/>
      <w:bCs/>
    </w:rPr>
  </w:style>
  <w:style w:type="paragraph" w:styleId="3">
    <w:name w:val="heading 3"/>
    <w:basedOn w:val="a"/>
    <w:next w:val="a"/>
    <w:uiPriority w:val="9"/>
    <w:semiHidden/>
    <w:unhideWhenUsed/>
    <w:qFormat/>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rPr>
      <w:sz w:val="18"/>
      <w:szCs w:val="18"/>
    </w:rPr>
  </w:style>
  <w:style w:type="paragraph" w:styleId="a6">
    <w:name w:val="List Paragraph"/>
    <w:basedOn w:val="a"/>
    <w:pPr>
      <w:ind w:firstLineChars="200" w:firstLine="200"/>
    </w:pPr>
  </w:style>
  <w:style w:type="character" w:styleId="a7">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蒋丹</dc:creator>
  <cp:lastModifiedBy>jiangd</cp:lastModifiedBy>
  <cp:revision>41</cp:revision>
  <cp:lastPrinted>2023-07-15T02:11:00Z</cp:lastPrinted>
  <dcterms:created xsi:type="dcterms:W3CDTF">2022-11-22T07:08:00Z</dcterms:created>
  <dcterms:modified xsi:type="dcterms:W3CDTF">2023-07-21T01:42:00Z</dcterms:modified>
</cp:coreProperties>
</file>